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3F51">
      <w:pPr>
        <w:spacing w:beforeLines="50" w:before="180" w:afterLines="50" w:after="180"/>
        <w:jc w:val="center"/>
        <w:rPr>
          <w:rFonts w:eastAsia="標楷體"/>
          <w:b/>
          <w:sz w:val="32"/>
          <w:szCs w:val="36"/>
        </w:rPr>
      </w:pPr>
      <w:r w:rsidRPr="00090993">
        <w:rPr>
          <w:rFonts w:eastAsia="標楷體"/>
          <w:b/>
          <w:sz w:val="32"/>
          <w:szCs w:val="36"/>
        </w:rPr>
        <w:t>桃園市原住民族學生獎助要點</w:t>
      </w:r>
    </w:p>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日府原教字第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r w:rsidR="004C5645" w:rsidRPr="004C5645">
        <w:rPr>
          <w:rFonts w:ascii="標楷體" w:eastAsia="標楷體" w:hAnsi="標楷體" w:hint="eastAsia"/>
          <w:sz w:val="20"/>
        </w:rPr>
        <w:t>府原教字第1070262090號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bookmarkStart w:id="0" w:name="_GoBack"/>
      <w:bookmarkEnd w:id="0"/>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前三款以外，認列綜合所得稅扶養親屬免稅額之納稅義務人。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公私立高中職組：每學期補助新臺幣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、前ㄧ學期總平均百分制成績單正本或影本（影本須蓋與正本相章）。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、區公所核發之中低或低收入戶證明。未領有中低或低收入戶證明者，須填寫家庭狀況訪視表。</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w:t>
      </w:r>
      <w:r w:rsidR="001F17B6" w:rsidRPr="001F17B6">
        <w:rPr>
          <w:rFonts w:eastAsia="標楷體" w:hint="eastAsia"/>
          <w:szCs w:val="28"/>
        </w:rPr>
        <w:lastRenderedPageBreak/>
        <w:t>及九月一日至九月三十日受理申請，並初審申請人申請文件及造具學生名冊，函文至本府複審。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FB" w:rsidRDefault="00617CFB" w:rsidP="003E257C">
      <w:r>
        <w:separator/>
      </w:r>
    </w:p>
  </w:endnote>
  <w:endnote w:type="continuationSeparator" w:id="0">
    <w:p w:rsidR="00617CFB" w:rsidRDefault="00617CFB"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8E1372" w:rsidRPr="008E1372">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FB" w:rsidRDefault="00617CFB" w:rsidP="003E257C">
      <w:r>
        <w:separator/>
      </w:r>
    </w:p>
  </w:footnote>
  <w:footnote w:type="continuationSeparator" w:id="0">
    <w:p w:rsidR="00617CFB" w:rsidRDefault="00617CFB" w:rsidP="003E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15:restartNumberingAfterBreak="0">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15:restartNumberingAfterBreak="0">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24E7B"/>
    <w:rsid w:val="0005244B"/>
    <w:rsid w:val="000552C9"/>
    <w:rsid w:val="00090993"/>
    <w:rsid w:val="000D2DF5"/>
    <w:rsid w:val="000D6BA7"/>
    <w:rsid w:val="001F17B6"/>
    <w:rsid w:val="002042DC"/>
    <w:rsid w:val="00257499"/>
    <w:rsid w:val="00292095"/>
    <w:rsid w:val="00323E5F"/>
    <w:rsid w:val="00332950"/>
    <w:rsid w:val="003A5B60"/>
    <w:rsid w:val="003E0C96"/>
    <w:rsid w:val="003E257C"/>
    <w:rsid w:val="00444A9E"/>
    <w:rsid w:val="004819A4"/>
    <w:rsid w:val="004C5645"/>
    <w:rsid w:val="004F1271"/>
    <w:rsid w:val="005F2FAA"/>
    <w:rsid w:val="00607E46"/>
    <w:rsid w:val="00617CFB"/>
    <w:rsid w:val="006D1137"/>
    <w:rsid w:val="007775C7"/>
    <w:rsid w:val="007C6F7C"/>
    <w:rsid w:val="00876926"/>
    <w:rsid w:val="008B1F7D"/>
    <w:rsid w:val="008E1372"/>
    <w:rsid w:val="009343A9"/>
    <w:rsid w:val="009F3F51"/>
    <w:rsid w:val="00A5017A"/>
    <w:rsid w:val="00AE2127"/>
    <w:rsid w:val="00B06714"/>
    <w:rsid w:val="00B964D7"/>
    <w:rsid w:val="00C072B9"/>
    <w:rsid w:val="00C10E8F"/>
    <w:rsid w:val="00C4272F"/>
    <w:rsid w:val="00CC227E"/>
    <w:rsid w:val="00D226DF"/>
    <w:rsid w:val="00DB1846"/>
    <w:rsid w:val="00E07083"/>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Windows 使用者</cp:lastModifiedBy>
  <cp:revision>2</cp:revision>
  <cp:lastPrinted>2018-10-16T07:28:00Z</cp:lastPrinted>
  <dcterms:created xsi:type="dcterms:W3CDTF">2019-08-19T01:02:00Z</dcterms:created>
  <dcterms:modified xsi:type="dcterms:W3CDTF">2019-08-19T01:02:00Z</dcterms:modified>
</cp:coreProperties>
</file>